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8E6" w:rsidRPr="00E53992" w:rsidRDefault="00EA48E6" w:rsidP="00485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bookmarkStart w:id="0" w:name="_Hlk483377207"/>
      <w:bookmarkStart w:id="1" w:name="_Hlk501435920"/>
      <w:bookmarkStart w:id="2" w:name="_Hlk509392557"/>
      <w:r w:rsidRPr="00E53992">
        <w:rPr>
          <w:rFonts w:ascii="Times New Roman" w:hAnsi="Times New Roman"/>
          <w:b/>
          <w:sz w:val="24"/>
          <w:szCs w:val="24"/>
          <w:lang w:eastAsia="pl-PL"/>
        </w:rPr>
        <w:t>Protokół Nr 6</w:t>
      </w:r>
      <w:r>
        <w:rPr>
          <w:rFonts w:ascii="Times New Roman" w:hAnsi="Times New Roman"/>
          <w:b/>
          <w:sz w:val="24"/>
          <w:szCs w:val="24"/>
          <w:lang w:eastAsia="pl-PL"/>
        </w:rPr>
        <w:t>8/</w:t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>2018</w:t>
      </w:r>
    </w:p>
    <w:p w:rsidR="00EA48E6" w:rsidRDefault="00EA48E6" w:rsidP="00485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53992">
        <w:rPr>
          <w:rFonts w:ascii="Times New Roman" w:hAnsi="Times New Roman"/>
          <w:b/>
          <w:sz w:val="24"/>
          <w:szCs w:val="24"/>
          <w:lang w:eastAsia="pl-PL"/>
        </w:rPr>
        <w:t>z posiedzenia Komisji Rolnictwa, Leśnictwa i Oc</w:t>
      </w:r>
      <w:r>
        <w:rPr>
          <w:rFonts w:ascii="Times New Roman" w:hAnsi="Times New Roman"/>
          <w:b/>
          <w:sz w:val="24"/>
          <w:szCs w:val="24"/>
          <w:lang w:eastAsia="pl-PL"/>
        </w:rPr>
        <w:t>hrony Środowiska Rady Miejskiej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hAnsi="Times New Roman"/>
          <w:b/>
          <w:sz w:val="24"/>
          <w:szCs w:val="24"/>
          <w:lang w:eastAsia="pl-PL"/>
        </w:rPr>
        <w:t>6 września</w:t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 xml:space="preserve"> 2018r. </w:t>
      </w:r>
    </w:p>
    <w:p w:rsidR="00EA48E6" w:rsidRDefault="00EA48E6" w:rsidP="00485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EA48E6" w:rsidRPr="00E53992" w:rsidRDefault="00EA48E6" w:rsidP="00485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EA48E6" w:rsidRPr="00050DBE" w:rsidRDefault="00EA48E6" w:rsidP="004854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50DBE">
        <w:rPr>
          <w:rFonts w:ascii="Times New Roman" w:hAnsi="Times New Roman"/>
          <w:sz w:val="24"/>
          <w:szCs w:val="24"/>
          <w:lang w:eastAsia="pl-PL"/>
        </w:rPr>
        <w:t xml:space="preserve">Przedstawiciel Izby Rolniczej – Stanisław Stróżyński; </w:t>
      </w:r>
    </w:p>
    <w:p w:rsidR="00EA48E6" w:rsidRDefault="00EA48E6" w:rsidP="004854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50DBE">
        <w:rPr>
          <w:rFonts w:ascii="Times New Roman" w:hAnsi="Times New Roman"/>
          <w:sz w:val="24"/>
          <w:szCs w:val="24"/>
          <w:lang w:eastAsia="pl-PL"/>
        </w:rPr>
        <w:t xml:space="preserve">Przedstawiciel Izby Rolniczej – Zbigniew Adamczak; </w:t>
      </w:r>
    </w:p>
    <w:p w:rsidR="00EA48E6" w:rsidRDefault="00EA48E6" w:rsidP="004854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050DBE">
        <w:rPr>
          <w:rFonts w:ascii="Times New Roman" w:hAnsi="Times New Roman"/>
          <w:sz w:val="24"/>
          <w:szCs w:val="24"/>
          <w:lang w:eastAsia="pl-PL"/>
        </w:rPr>
        <w:t xml:space="preserve">Przewodniczący Gminnego Związku Rolników, Kółek i Organizacji Rolniczych – Bogumił </w:t>
      </w:r>
      <w:proofErr w:type="spellStart"/>
      <w:r w:rsidRPr="00050DBE">
        <w:rPr>
          <w:rFonts w:ascii="Times New Roman" w:hAnsi="Times New Roman"/>
          <w:sz w:val="24"/>
          <w:szCs w:val="24"/>
          <w:lang w:eastAsia="pl-PL"/>
        </w:rPr>
        <w:t>Szpojda</w:t>
      </w:r>
      <w:proofErr w:type="spellEnd"/>
      <w:r w:rsidRPr="00050DBE">
        <w:rPr>
          <w:rFonts w:ascii="Times New Roman" w:hAnsi="Times New Roman"/>
          <w:sz w:val="24"/>
          <w:szCs w:val="24"/>
          <w:lang w:eastAsia="pl-PL"/>
        </w:rPr>
        <w:t>;</w:t>
      </w:r>
    </w:p>
    <w:p w:rsidR="00EA48E6" w:rsidRDefault="00EA48E6" w:rsidP="004854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Kierownik Powiatowego Biura Agencji Restrukturyzacji i Modernizacji Rolnictwa –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Śrubkowska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; </w:t>
      </w:r>
    </w:p>
    <w:p w:rsidR="00EA48E6" w:rsidRDefault="00EA48E6" w:rsidP="004854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Kierownik Gminnej Spółki Wodnej – Tobiasz Świniarski;  </w:t>
      </w:r>
    </w:p>
    <w:p w:rsidR="00EA48E6" w:rsidRDefault="00EA48E6" w:rsidP="004854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Kierownik Referatu Gospodarki Komunalnej i Rolnictwa - Jarosław Dera;</w:t>
      </w:r>
    </w:p>
    <w:p w:rsidR="00BE452B" w:rsidRDefault="00EA48E6" w:rsidP="004854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Inspektor Referatu  Gospodarki Komunalnej i Rolnictwa – Bartosz Łangowski</w:t>
      </w:r>
      <w:r w:rsidR="00BE452B"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EA48E6" w:rsidRPr="00050DBE" w:rsidRDefault="00BE452B" w:rsidP="004854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Interesant Pan </w:t>
      </w:r>
      <w:r w:rsidR="00CE21DA">
        <w:rPr>
          <w:rFonts w:ascii="Times New Roman" w:hAnsi="Times New Roman"/>
          <w:sz w:val="24"/>
          <w:szCs w:val="24"/>
          <w:lang w:eastAsia="pl-PL"/>
        </w:rPr>
        <w:t>……………</w:t>
      </w:r>
      <w:bookmarkStart w:id="3" w:name="_GoBack"/>
      <w:bookmarkEnd w:id="3"/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EA48E6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EA48E6" w:rsidRPr="00050DBE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Pr="00050DBE" w:rsidRDefault="00EA48E6" w:rsidP="0048541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Default="00EA48E6" w:rsidP="0048541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3992">
        <w:rPr>
          <w:rFonts w:ascii="Times New Roman" w:hAnsi="Times New Roman"/>
          <w:sz w:val="24"/>
          <w:szCs w:val="24"/>
          <w:lang w:eastAsia="pl-PL"/>
        </w:rPr>
        <w:t xml:space="preserve">Posiedzenie otworzył Przewodniczący Komisji Pan Antoni Dolny, który po powitaniu zebranych zaproponował następujący jego porządek: </w:t>
      </w:r>
    </w:p>
    <w:p w:rsidR="00EA48E6" w:rsidRPr="00485413" w:rsidRDefault="00EA48E6" w:rsidP="0048541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Pr="00955541" w:rsidRDefault="00EA48E6" w:rsidP="00955541">
      <w:pPr>
        <w:tabs>
          <w:tab w:val="left" w:pos="3506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85413">
        <w:rPr>
          <w:rFonts w:ascii="Times New Roman" w:hAnsi="Times New Roman"/>
          <w:sz w:val="24"/>
          <w:szCs w:val="24"/>
          <w:lang w:eastAsia="pl-PL"/>
        </w:rPr>
        <w:t xml:space="preserve"> </w:t>
      </w:r>
      <w:bookmarkStart w:id="4" w:name="_Hlk508876968"/>
    </w:p>
    <w:p w:rsidR="00EA48E6" w:rsidRPr="00955541" w:rsidRDefault="00EA48E6" w:rsidP="009555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55541">
        <w:rPr>
          <w:rFonts w:ascii="Times New Roman" w:hAnsi="Times New Roman"/>
          <w:sz w:val="24"/>
          <w:szCs w:val="24"/>
          <w:lang w:eastAsia="pl-PL"/>
        </w:rPr>
        <w:t xml:space="preserve">Otwarcie posiedzenia i przyjęcie porządku; </w:t>
      </w:r>
    </w:p>
    <w:p w:rsidR="00EA48E6" w:rsidRPr="00955541" w:rsidRDefault="00EA48E6" w:rsidP="009555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55541">
        <w:rPr>
          <w:rFonts w:ascii="Times New Roman" w:hAnsi="Times New Roman"/>
          <w:sz w:val="24"/>
          <w:szCs w:val="24"/>
          <w:lang w:eastAsia="pl-PL"/>
        </w:rPr>
        <w:t xml:space="preserve">Końcowe uzgodnienia w sprawie odwodnienia pola uprawnego w Teklanowie; </w:t>
      </w:r>
    </w:p>
    <w:p w:rsidR="00EA48E6" w:rsidRPr="00955541" w:rsidRDefault="00EA48E6" w:rsidP="009555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55541">
        <w:rPr>
          <w:rFonts w:ascii="Times New Roman" w:hAnsi="Times New Roman"/>
          <w:sz w:val="24"/>
          <w:szCs w:val="24"/>
          <w:lang w:eastAsia="pl-PL"/>
        </w:rPr>
        <w:t>Informacja w zakresie ewentualnych zmian uwarunkowań do uzyskania dopłat</w:t>
      </w:r>
      <w:r>
        <w:rPr>
          <w:rFonts w:ascii="Times New Roman" w:hAnsi="Times New Roman"/>
          <w:sz w:val="24"/>
          <w:szCs w:val="24"/>
          <w:lang w:eastAsia="pl-PL"/>
        </w:rPr>
        <w:t xml:space="preserve"> unijnych </w:t>
      </w:r>
      <w:r w:rsidRPr="00955541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przez rolników; </w:t>
      </w:r>
    </w:p>
    <w:p w:rsidR="00EA48E6" w:rsidRPr="00955541" w:rsidRDefault="00EA48E6" w:rsidP="009555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55541">
        <w:rPr>
          <w:rFonts w:ascii="Times New Roman" w:hAnsi="Times New Roman"/>
          <w:sz w:val="24"/>
          <w:szCs w:val="24"/>
          <w:lang w:eastAsia="pl-PL"/>
        </w:rPr>
        <w:t xml:space="preserve">Informacja z bieżącej działalności Gminnej Spółki Wodnej;  </w:t>
      </w:r>
    </w:p>
    <w:p w:rsidR="00EA48E6" w:rsidRPr="00955541" w:rsidRDefault="00EA48E6" w:rsidP="009555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55541">
        <w:rPr>
          <w:rFonts w:ascii="Times New Roman" w:hAnsi="Times New Roman"/>
          <w:sz w:val="24"/>
          <w:szCs w:val="24"/>
          <w:lang w:eastAsia="pl-PL"/>
        </w:rPr>
        <w:t xml:space="preserve">Informacja w zakresie rozdysponowania tłucznia; </w:t>
      </w:r>
    </w:p>
    <w:p w:rsidR="00EA48E6" w:rsidRPr="00955541" w:rsidRDefault="00EA48E6" w:rsidP="009555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55541">
        <w:rPr>
          <w:rFonts w:ascii="Times New Roman" w:hAnsi="Times New Roman"/>
          <w:sz w:val="24"/>
          <w:szCs w:val="24"/>
          <w:lang w:eastAsia="pl-PL"/>
        </w:rPr>
        <w:t xml:space="preserve">Zatwierdzenie protokołu z poprzedniego posiedzenia Komisji; </w:t>
      </w:r>
    </w:p>
    <w:p w:rsidR="00EA48E6" w:rsidRPr="00955541" w:rsidRDefault="00EA48E6" w:rsidP="009555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55541">
        <w:rPr>
          <w:rFonts w:ascii="Times New Roman" w:hAnsi="Times New Roman"/>
          <w:sz w:val="24"/>
          <w:szCs w:val="24"/>
          <w:lang w:eastAsia="pl-PL"/>
        </w:rPr>
        <w:t xml:space="preserve">Wolne wnioski i zakończenie.    </w:t>
      </w:r>
    </w:p>
    <w:p w:rsidR="00EA48E6" w:rsidRPr="00955541" w:rsidRDefault="00EA48E6" w:rsidP="00955541">
      <w:pPr>
        <w:tabs>
          <w:tab w:val="left" w:pos="254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bookmarkEnd w:id="4"/>
    <w:p w:rsidR="00EA48E6" w:rsidRPr="00955541" w:rsidRDefault="00EA48E6" w:rsidP="00955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3992">
        <w:rPr>
          <w:rFonts w:ascii="Times New Roman" w:hAnsi="Times New Roman"/>
          <w:sz w:val="24"/>
          <w:szCs w:val="24"/>
          <w:lang w:eastAsia="pl-PL"/>
        </w:rPr>
        <w:t>W/w porządek posiedzenia przyjęto jednogłośnie.</w:t>
      </w: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Ad.2.Przewodniczący Komisji poinformował, że na poprzednim posiedzeniu Komisji doszło do uzgodnień związanych z odwodnieniem pola uprawnego w Teklanowie tzn. Pan </w:t>
      </w:r>
      <w:r w:rsidR="00BE452B">
        <w:rPr>
          <w:rFonts w:ascii="Times New Roman" w:hAnsi="Times New Roman"/>
          <w:sz w:val="24"/>
          <w:szCs w:val="24"/>
          <w:lang w:eastAsia="pl-PL"/>
        </w:rPr>
        <w:t>………..</w:t>
      </w:r>
      <w:r>
        <w:rPr>
          <w:rFonts w:ascii="Times New Roman" w:hAnsi="Times New Roman"/>
          <w:sz w:val="24"/>
          <w:szCs w:val="24"/>
          <w:lang w:eastAsia="pl-PL"/>
        </w:rPr>
        <w:t xml:space="preserve"> oświadczył, że zgadza się na wkopanie rury o większym przekroju przez Gminną Spółkę Wodną. Dodał, że Pan </w:t>
      </w:r>
      <w:r w:rsidR="00BE452B">
        <w:rPr>
          <w:rFonts w:ascii="Times New Roman" w:hAnsi="Times New Roman"/>
          <w:sz w:val="24"/>
          <w:szCs w:val="24"/>
          <w:lang w:eastAsia="pl-PL"/>
        </w:rPr>
        <w:t>………….</w:t>
      </w:r>
      <w:r>
        <w:rPr>
          <w:rFonts w:ascii="Times New Roman" w:hAnsi="Times New Roman"/>
          <w:sz w:val="24"/>
          <w:szCs w:val="24"/>
          <w:lang w:eastAsia="pl-PL"/>
        </w:rPr>
        <w:t xml:space="preserve"> po tym uzgodnieniu odpisał, że chciałby otrzymać kosztorys tej inwestycji. Pan </w:t>
      </w:r>
      <w:r w:rsidR="00BE452B">
        <w:rPr>
          <w:rFonts w:ascii="Times New Roman" w:hAnsi="Times New Roman"/>
          <w:sz w:val="24"/>
          <w:szCs w:val="24"/>
          <w:lang w:eastAsia="pl-PL"/>
        </w:rPr>
        <w:t>………………</w:t>
      </w:r>
      <w:r>
        <w:rPr>
          <w:rFonts w:ascii="Times New Roman" w:hAnsi="Times New Roman"/>
          <w:sz w:val="24"/>
          <w:szCs w:val="24"/>
          <w:lang w:eastAsia="pl-PL"/>
        </w:rPr>
        <w:t xml:space="preserve"> odpowiedział, że zgodził się na wykonanie prac, ale nie było nigdzie uwzględnionego kosztorysu. Poinformował, że nie robił tej melioracji prywatnie, a zadanie zostało zlecone Gminnej Spółce Wodnej. Powiedział, że pytał Gminnej Spółki Wodnej o wielkość przekroju i za taki zapłacił. Poinformował również, że do tej pory cały rów melioracyjny robił na własny koszt. Pan Dolny odpowiedział, że w protokole jest zapisane, że zgadza się na wykonanie odwodnienia i nie pytał wtedy o kosztorys. Następnie Kierownik Gminnej Spółki Wodnej przedstawił Panu </w:t>
      </w:r>
      <w:r w:rsidR="00BE452B">
        <w:rPr>
          <w:rFonts w:ascii="Times New Roman" w:hAnsi="Times New Roman"/>
          <w:sz w:val="24"/>
          <w:szCs w:val="24"/>
          <w:lang w:eastAsia="pl-PL"/>
        </w:rPr>
        <w:t>………….</w:t>
      </w:r>
      <w:r>
        <w:rPr>
          <w:rFonts w:ascii="Times New Roman" w:hAnsi="Times New Roman"/>
          <w:sz w:val="24"/>
          <w:szCs w:val="24"/>
          <w:lang w:eastAsia="pl-PL"/>
        </w:rPr>
        <w:t xml:space="preserve"> kosztorys odwodnienia pola uprawnego. Poinformował, że cała inwestycja wyniesie ok.50 tys. zł., z czego 20 tys. zł wynosi sam materiał. Powiedział również, że Pan </w:t>
      </w:r>
      <w:r w:rsidR="00BE452B">
        <w:rPr>
          <w:rFonts w:ascii="Times New Roman" w:hAnsi="Times New Roman"/>
          <w:sz w:val="24"/>
          <w:szCs w:val="24"/>
          <w:lang w:eastAsia="pl-PL"/>
        </w:rPr>
        <w:t>………….</w:t>
      </w:r>
      <w:r>
        <w:rPr>
          <w:rFonts w:ascii="Times New Roman" w:hAnsi="Times New Roman"/>
          <w:sz w:val="24"/>
          <w:szCs w:val="24"/>
          <w:lang w:eastAsia="pl-PL"/>
        </w:rPr>
        <w:t xml:space="preserve"> nie zapłacił poprzedniej faktury, a poprzednia rura o przekroju 200 została położona na życzenie Pana </w:t>
      </w:r>
      <w:r w:rsidR="00BE452B">
        <w:rPr>
          <w:rFonts w:ascii="Times New Roman" w:hAnsi="Times New Roman"/>
          <w:sz w:val="24"/>
          <w:szCs w:val="24"/>
          <w:lang w:eastAsia="pl-PL"/>
        </w:rPr>
        <w:t>………….</w:t>
      </w:r>
      <w:r>
        <w:rPr>
          <w:rFonts w:ascii="Times New Roman" w:hAnsi="Times New Roman"/>
          <w:sz w:val="24"/>
          <w:szCs w:val="24"/>
          <w:lang w:eastAsia="pl-PL"/>
        </w:rPr>
        <w:t xml:space="preserve">. wynajmie koparkę i wykopie rów taki jak ma być. Pan Dolny zapytał, co z uregulowaniem poprzedniej faktury. Pan </w:t>
      </w:r>
      <w:r w:rsidR="00BE452B">
        <w:rPr>
          <w:rFonts w:ascii="Times New Roman" w:hAnsi="Times New Roman"/>
          <w:sz w:val="24"/>
          <w:szCs w:val="24"/>
          <w:lang w:eastAsia="pl-PL"/>
        </w:rPr>
        <w:t>………..</w:t>
      </w:r>
      <w:r>
        <w:rPr>
          <w:rFonts w:ascii="Times New Roman" w:hAnsi="Times New Roman"/>
          <w:sz w:val="24"/>
          <w:szCs w:val="24"/>
          <w:lang w:eastAsia="pl-PL"/>
        </w:rPr>
        <w:t xml:space="preserve"> powiedział, że praca została źle wykonana.</w:t>
      </w: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Po dyskusji ustalono, że Gminna Spółka Wodna zawrze z Panem </w:t>
      </w:r>
      <w:r w:rsidR="00BE452B">
        <w:rPr>
          <w:rFonts w:ascii="Times New Roman" w:hAnsi="Times New Roman"/>
          <w:sz w:val="24"/>
          <w:szCs w:val="24"/>
          <w:lang w:eastAsia="pl-PL"/>
        </w:rPr>
        <w:t>………..</w:t>
      </w:r>
      <w:r>
        <w:rPr>
          <w:rFonts w:ascii="Times New Roman" w:hAnsi="Times New Roman"/>
          <w:sz w:val="24"/>
          <w:szCs w:val="24"/>
          <w:lang w:eastAsia="pl-PL"/>
        </w:rPr>
        <w:t xml:space="preserve">pisemne uzgodnienie tj., że Pan </w:t>
      </w:r>
      <w:r w:rsidR="00BE452B">
        <w:rPr>
          <w:rFonts w:ascii="Times New Roman" w:hAnsi="Times New Roman"/>
          <w:sz w:val="24"/>
          <w:szCs w:val="24"/>
          <w:lang w:eastAsia="pl-PL"/>
        </w:rPr>
        <w:t>…………</w:t>
      </w:r>
      <w:r>
        <w:rPr>
          <w:rFonts w:ascii="Times New Roman" w:hAnsi="Times New Roman"/>
          <w:sz w:val="24"/>
          <w:szCs w:val="24"/>
          <w:lang w:eastAsia="pl-PL"/>
        </w:rPr>
        <w:t xml:space="preserve">  zapłaci za uprzednie prace wykonane przez Gminną Spółkę Wodną, oraz dokona przywrócenia do stanu pierwotnego w przypadku gdyby obecnie wykonane odwodnienie nie spełniało swojej roli. </w:t>
      </w: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</w:t>
      </w: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Ad.3. Kierownik Biura Powiatowego Agencji Restrukturyzacji i Modernizacji Rolnictwa przedstawiła Komisji informację w zakresie uwarunkowań do uzyskania dopłat do prowadzenia gospodarstw rolnych. Poinformowała, że płatności bezpośrednie zostały wprowadzone w 1992r. i miały gwarantować rekompensowanie prawdopodobnego spadku dochodu. W ramach wspólnej polityki rolnej jest wiele programów, które mają wspomóc działania. Agencja Restrukturyzacji i Modernizacji Rolnictwa jest jedyną agencją płatniczą i agencją wykonawczą tzn., że wykonuje zadania poparte zarządzeniami ministerstwa rolnictwa. Jeśli chodzi o dopłaty unijne i dopłaty bezpośrednie jest szereg możliwości. Jednym z głównych zadań agencji są dopłaty bezpośrednie. Żeby otrzymać możliwość złożenia wniosku, rolnik musi posiadać numer producenta w ewidencji producentów stanowiącej część krajowego systemu ewidencji producentów, ewidencji gospodarstw rolnych oraz ewidencji wniosków o przyznanie płatności. W przypadku, kiedy rolnik nie otrzymał takiego numeru powinien złożyć taki wniosek do biura powiatowego w zależności od zamieszkania, aby taki numer został mu nadany. Aby otrzymać dopłaty bezpośrednie należy być obywatelem państwa członkowskiego unii europejskiej, posiadać min. 1h użytków rolnych, bądź prowadzenie produkcji rolnej. Płatności, o które może ubiegać się rolnik w ramach systemu wsparcia bezpośredniego to: jednolita płatność obszarowa, płatność na zazielenienie, oraz płatność dodatkowa. W płatnościach dla młodych rolników zaszła zmiana, ponieważ młodym rolnikiem jest osoba do ukończenia 41 roku życia, płatność jest do </w:t>
      </w:r>
      <w:smartTag w:uri="urn:schemas-microsoft-com:office:smarttags" w:element="metricconverter">
        <w:smartTagPr>
          <w:attr w:name="ProductID" w:val="50 hektarów"/>
        </w:smartTagPr>
        <w:r>
          <w:rPr>
            <w:rFonts w:ascii="Times New Roman" w:hAnsi="Times New Roman"/>
            <w:sz w:val="24"/>
            <w:szCs w:val="24"/>
            <w:lang w:eastAsia="pl-PL"/>
          </w:rPr>
          <w:t>50 hektarów</w:t>
        </w:r>
      </w:smartTag>
      <w:r>
        <w:rPr>
          <w:rFonts w:ascii="Times New Roman" w:hAnsi="Times New Roman"/>
          <w:sz w:val="24"/>
          <w:szCs w:val="24"/>
          <w:lang w:eastAsia="pl-PL"/>
        </w:rPr>
        <w:t xml:space="preserve"> i jest przyznawana na okres 5 lat.  Agencja restrukturyzacji jest objęta programem rozwoju obszarów wiejskich. Kolejnym zadaniem agencji w ramach tego programu jest modernizacja gospodarstw rolnych. Następnym działaniem jest premia dla młodych rolników.  Kolejnym działaniem jest tworzenie grup producentów i organizacji producentów. Główną zmianą, która nastąpiła jest forma składania wniosków tzn. za pomocą aplikacji  e - wniosek plus.  Pan Adamczak zapytał czy szacowanie upraw i hodowla zostaną na tych samych zasadach. Pani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Śrubkowska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odpowiedziała, że przy składaniu wniosku będzie można wybrać produkcję zwierzęcą lub roślinną. Pan Adamczak zapytał skąd pojawił się próg 70% strat, od którego nalicza straty w gospodarstwie.  Pani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Śrubkowska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odpowiedziała, że takie były wytyczne instytutu gleboznawstwa, w tym przypadku w Puławach.  </w:t>
      </w: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przyjęła przedstawioną informację do wiadomości. </w:t>
      </w: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Ad.5. Kierownik Gminnej Spółki Wodnej przedstawił Komisji informację z bieżącej działalności tej instytucji (pisemna informacja stanowi załącznik do niniejszego protokołu).  </w:t>
      </w: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przyjęła przedstawioną informacje do wiadomości. </w:t>
      </w: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Ad.6. Pan Dolny przedstawił projekt planu rozdysponowania pozostałej ilości tłucznia na drogi gminne w ramach 43tys.zł. (dotyczy kamienia wapiennego, nie tłucznia) . Nadmienił, że ten plan uzgodnił z Panem Łangowskim oraz z sołtysami. W planie jest przewidziane   rozdysponowanie w następującej ilości: do Lutówka 2 transporty, do Iłowa 2 transporty, do Niechorza 2 transporty, do Sikorza 3 transporty. Pan Łangowski dodał, że Pani Sołtys Sikorza dołoży 8 transportów z własnego budżetu. Kolejne transporty kamienia wapiennego </w:t>
      </w: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proponuje się do: Skarpy 2 transporty, do Zalesia 2 transporty, do Włościborza 2 transporty, do Teklanowa 1 transport, do Wilkowa 2 transporty, Wałdówko 1 transport, Wiśniewka 1 transport, Komierowo 2 transporty.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zapytał, dlaczego Lutowo i Radońsk nie otrzymały żadnego transportu. Pan Łangowski odpowiedział, że Lutowo dużą część dróg naprawiło z własnego budżetu.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powiedział, że dużo wsi zostało pominiętych w tym projekcie. 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Szpojda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powiedział, że Piaseczno powinno utwardzić odcinek drogi koło Borówna kruszywem. Pan Łangowski odpowiedział, że Piaseczno zadeklarowało  kupować płyty Jumbo, a na podjazd pod górę chce przeznaczyć płyty drogowe.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zapytał, kto ustalał projekt tego  rozdysponowania, nie będzie głosował za tym projektem.  Jego zdaniem należy dołożyć transporty do Radońska i Lutowa. Pan Dolny powiedział, że ten projekt był  uzgodniony z sołtysami. </w:t>
      </w: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 dyskusji Komisja opowiedziała się, aby przeznaczyć kamień wapienny w następujących ilościach: </w:t>
      </w: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Default="00EA48E6" w:rsidP="00C602B1"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780"/>
        <w:gridCol w:w="2160"/>
      </w:tblGrid>
      <w:tr w:rsidR="00EA48E6" w:rsidTr="002F42E9">
        <w:trPr>
          <w:jc w:val="center"/>
        </w:trPr>
        <w:tc>
          <w:tcPr>
            <w:tcW w:w="468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Lp.</w:t>
            </w:r>
          </w:p>
        </w:tc>
        <w:tc>
          <w:tcPr>
            <w:tcW w:w="378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Sołectwo</w:t>
            </w:r>
          </w:p>
        </w:tc>
        <w:tc>
          <w:tcPr>
            <w:tcW w:w="216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Liczba transportów tłucznia</w:t>
            </w:r>
          </w:p>
        </w:tc>
      </w:tr>
      <w:tr w:rsidR="00EA48E6" w:rsidTr="002F42E9">
        <w:trPr>
          <w:trHeight w:val="298"/>
          <w:jc w:val="center"/>
        </w:trPr>
        <w:tc>
          <w:tcPr>
            <w:tcW w:w="468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1.</w:t>
            </w:r>
          </w:p>
        </w:tc>
        <w:tc>
          <w:tcPr>
            <w:tcW w:w="378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 xml:space="preserve">Lutówko </w:t>
            </w:r>
          </w:p>
        </w:tc>
        <w:tc>
          <w:tcPr>
            <w:tcW w:w="216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2</w:t>
            </w:r>
          </w:p>
        </w:tc>
      </w:tr>
      <w:tr w:rsidR="00EA48E6" w:rsidTr="002F42E9">
        <w:trPr>
          <w:jc w:val="center"/>
        </w:trPr>
        <w:tc>
          <w:tcPr>
            <w:tcW w:w="468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2.</w:t>
            </w:r>
          </w:p>
        </w:tc>
        <w:tc>
          <w:tcPr>
            <w:tcW w:w="378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 xml:space="preserve">Iłowo </w:t>
            </w:r>
          </w:p>
        </w:tc>
        <w:tc>
          <w:tcPr>
            <w:tcW w:w="216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2</w:t>
            </w:r>
          </w:p>
        </w:tc>
      </w:tr>
      <w:tr w:rsidR="00EA48E6" w:rsidTr="002F42E9">
        <w:trPr>
          <w:jc w:val="center"/>
        </w:trPr>
        <w:tc>
          <w:tcPr>
            <w:tcW w:w="468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3.</w:t>
            </w:r>
          </w:p>
        </w:tc>
        <w:tc>
          <w:tcPr>
            <w:tcW w:w="378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proofErr w:type="spellStart"/>
            <w:r w:rsidRPr="002F42E9">
              <w:rPr>
                <w:rFonts w:ascii="Times New Roman" w:hAnsi="Times New Roman"/>
              </w:rPr>
              <w:t>Niechorz</w:t>
            </w:r>
            <w:proofErr w:type="spellEnd"/>
            <w:r w:rsidRPr="002F42E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6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2</w:t>
            </w:r>
          </w:p>
        </w:tc>
      </w:tr>
      <w:tr w:rsidR="00EA48E6" w:rsidTr="002F42E9">
        <w:trPr>
          <w:jc w:val="center"/>
        </w:trPr>
        <w:tc>
          <w:tcPr>
            <w:tcW w:w="468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4.</w:t>
            </w:r>
          </w:p>
        </w:tc>
        <w:tc>
          <w:tcPr>
            <w:tcW w:w="378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 xml:space="preserve">Piaseczno </w:t>
            </w:r>
          </w:p>
        </w:tc>
        <w:tc>
          <w:tcPr>
            <w:tcW w:w="216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1</w:t>
            </w:r>
          </w:p>
        </w:tc>
      </w:tr>
      <w:tr w:rsidR="00EA48E6" w:rsidTr="002F42E9">
        <w:trPr>
          <w:jc w:val="center"/>
        </w:trPr>
        <w:tc>
          <w:tcPr>
            <w:tcW w:w="468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5.</w:t>
            </w:r>
          </w:p>
        </w:tc>
        <w:tc>
          <w:tcPr>
            <w:tcW w:w="378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proofErr w:type="spellStart"/>
            <w:r w:rsidRPr="002F42E9">
              <w:rPr>
                <w:rFonts w:ascii="Times New Roman" w:hAnsi="Times New Roman"/>
              </w:rPr>
              <w:t>Sikorz</w:t>
            </w:r>
            <w:proofErr w:type="spellEnd"/>
            <w:r w:rsidRPr="002F42E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6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2</w:t>
            </w:r>
          </w:p>
        </w:tc>
      </w:tr>
      <w:tr w:rsidR="00EA48E6" w:rsidTr="002F42E9">
        <w:trPr>
          <w:jc w:val="center"/>
        </w:trPr>
        <w:tc>
          <w:tcPr>
            <w:tcW w:w="468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6.</w:t>
            </w:r>
          </w:p>
        </w:tc>
        <w:tc>
          <w:tcPr>
            <w:tcW w:w="378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 xml:space="preserve">Lutowo </w:t>
            </w:r>
          </w:p>
        </w:tc>
        <w:tc>
          <w:tcPr>
            <w:tcW w:w="216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1</w:t>
            </w:r>
          </w:p>
        </w:tc>
      </w:tr>
      <w:tr w:rsidR="00EA48E6" w:rsidTr="002F42E9">
        <w:trPr>
          <w:jc w:val="center"/>
        </w:trPr>
        <w:tc>
          <w:tcPr>
            <w:tcW w:w="468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7.</w:t>
            </w:r>
          </w:p>
        </w:tc>
        <w:tc>
          <w:tcPr>
            <w:tcW w:w="378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 xml:space="preserve">Zalesie </w:t>
            </w:r>
          </w:p>
        </w:tc>
        <w:tc>
          <w:tcPr>
            <w:tcW w:w="216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2</w:t>
            </w:r>
          </w:p>
        </w:tc>
      </w:tr>
      <w:tr w:rsidR="00EA48E6" w:rsidTr="002F42E9">
        <w:trPr>
          <w:jc w:val="center"/>
        </w:trPr>
        <w:tc>
          <w:tcPr>
            <w:tcW w:w="468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8.</w:t>
            </w:r>
          </w:p>
        </w:tc>
        <w:tc>
          <w:tcPr>
            <w:tcW w:w="378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 xml:space="preserve">Skarpa </w:t>
            </w:r>
          </w:p>
        </w:tc>
        <w:tc>
          <w:tcPr>
            <w:tcW w:w="216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1</w:t>
            </w:r>
          </w:p>
        </w:tc>
      </w:tr>
      <w:tr w:rsidR="00EA48E6" w:rsidTr="002F42E9">
        <w:trPr>
          <w:jc w:val="center"/>
        </w:trPr>
        <w:tc>
          <w:tcPr>
            <w:tcW w:w="468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9.</w:t>
            </w:r>
          </w:p>
        </w:tc>
        <w:tc>
          <w:tcPr>
            <w:tcW w:w="378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 xml:space="preserve">Włościbórz </w:t>
            </w:r>
          </w:p>
        </w:tc>
        <w:tc>
          <w:tcPr>
            <w:tcW w:w="216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2</w:t>
            </w:r>
          </w:p>
        </w:tc>
      </w:tr>
      <w:tr w:rsidR="00EA48E6" w:rsidTr="002F42E9">
        <w:trPr>
          <w:jc w:val="center"/>
        </w:trPr>
        <w:tc>
          <w:tcPr>
            <w:tcW w:w="468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10.</w:t>
            </w:r>
          </w:p>
        </w:tc>
        <w:tc>
          <w:tcPr>
            <w:tcW w:w="378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 xml:space="preserve">Teklanowo </w:t>
            </w:r>
          </w:p>
        </w:tc>
        <w:tc>
          <w:tcPr>
            <w:tcW w:w="216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1</w:t>
            </w:r>
          </w:p>
        </w:tc>
      </w:tr>
      <w:tr w:rsidR="00EA48E6" w:rsidTr="002F42E9">
        <w:trPr>
          <w:jc w:val="center"/>
        </w:trPr>
        <w:tc>
          <w:tcPr>
            <w:tcW w:w="468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11.</w:t>
            </w:r>
          </w:p>
        </w:tc>
        <w:tc>
          <w:tcPr>
            <w:tcW w:w="378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 xml:space="preserve">Wilkowo </w:t>
            </w:r>
          </w:p>
        </w:tc>
        <w:tc>
          <w:tcPr>
            <w:tcW w:w="216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2</w:t>
            </w:r>
          </w:p>
        </w:tc>
      </w:tr>
      <w:tr w:rsidR="00EA48E6" w:rsidTr="002F42E9">
        <w:trPr>
          <w:jc w:val="center"/>
        </w:trPr>
        <w:tc>
          <w:tcPr>
            <w:tcW w:w="468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12.</w:t>
            </w:r>
          </w:p>
        </w:tc>
        <w:tc>
          <w:tcPr>
            <w:tcW w:w="378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 xml:space="preserve">Wałdówko </w:t>
            </w:r>
          </w:p>
        </w:tc>
        <w:tc>
          <w:tcPr>
            <w:tcW w:w="216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1</w:t>
            </w:r>
          </w:p>
        </w:tc>
      </w:tr>
      <w:tr w:rsidR="00EA48E6" w:rsidTr="002F42E9">
        <w:trPr>
          <w:jc w:val="center"/>
        </w:trPr>
        <w:tc>
          <w:tcPr>
            <w:tcW w:w="468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13.</w:t>
            </w:r>
          </w:p>
        </w:tc>
        <w:tc>
          <w:tcPr>
            <w:tcW w:w="378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 xml:space="preserve">Wiśniewka </w:t>
            </w:r>
          </w:p>
        </w:tc>
        <w:tc>
          <w:tcPr>
            <w:tcW w:w="216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1</w:t>
            </w:r>
          </w:p>
        </w:tc>
      </w:tr>
      <w:tr w:rsidR="00EA48E6" w:rsidTr="002F42E9">
        <w:trPr>
          <w:jc w:val="center"/>
        </w:trPr>
        <w:tc>
          <w:tcPr>
            <w:tcW w:w="468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14.</w:t>
            </w:r>
          </w:p>
        </w:tc>
        <w:tc>
          <w:tcPr>
            <w:tcW w:w="378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 xml:space="preserve">Radońsk </w:t>
            </w:r>
          </w:p>
        </w:tc>
        <w:tc>
          <w:tcPr>
            <w:tcW w:w="216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1</w:t>
            </w:r>
          </w:p>
        </w:tc>
      </w:tr>
      <w:tr w:rsidR="00EA48E6" w:rsidTr="002F42E9">
        <w:trPr>
          <w:jc w:val="center"/>
        </w:trPr>
        <w:tc>
          <w:tcPr>
            <w:tcW w:w="468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15</w:t>
            </w:r>
          </w:p>
        </w:tc>
        <w:tc>
          <w:tcPr>
            <w:tcW w:w="378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 xml:space="preserve">Komierowo </w:t>
            </w:r>
          </w:p>
        </w:tc>
        <w:tc>
          <w:tcPr>
            <w:tcW w:w="2160" w:type="dxa"/>
          </w:tcPr>
          <w:p w:rsidR="00EA48E6" w:rsidRPr="002F42E9" w:rsidRDefault="00EA48E6" w:rsidP="002369EA">
            <w:pPr>
              <w:rPr>
                <w:rFonts w:ascii="Times New Roman" w:hAnsi="Times New Roman"/>
              </w:rPr>
            </w:pPr>
            <w:r w:rsidRPr="002F42E9">
              <w:rPr>
                <w:rFonts w:ascii="Times New Roman" w:hAnsi="Times New Roman"/>
              </w:rPr>
              <w:t>1</w:t>
            </w:r>
          </w:p>
        </w:tc>
      </w:tr>
    </w:tbl>
    <w:p w:rsidR="00EA48E6" w:rsidRDefault="00EA48E6" w:rsidP="00C602B1"/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Ad.7. Komisja zatwierdziła jednogłośnie protokół ze swojego poprzedniego posiedzenia w miesiącu sierpniu br. </w:t>
      </w: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Ad.8. W wolnych wnioskach poruszono następujące sprawy: </w:t>
      </w: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  Komisja  postanowiła jednogłośnie, że wystąpi z wnioskiem do projektu budżetu Gminy na 2019r. o zaplanowanie kwoty w wysokości 300tys.zł. z przeznaczeniem na zakup materiału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utwardzeniowego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 na drogi wiejskie. Ponadto 50tys.zł. proponuje się przeznaczyć na pracę równiarki na wspomnianych drogach. Komisja ponadto sugeruje, że jeśli sołectwa będą chciały zakupić dodatkowy materiał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utwardzeniowy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 własnych budżetów, to powinna być to kwota niezależna od kwoty w wysokości 300tys.zł.  zaplanowana w budżecie Gminy. </w:t>
      </w: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Pr="00E53992" w:rsidRDefault="00EA48E6" w:rsidP="00485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Pr="00E53992" w:rsidRDefault="00EA48E6" w:rsidP="004854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3992">
        <w:rPr>
          <w:rFonts w:ascii="Times New Roman" w:hAnsi="Times New Roman"/>
          <w:sz w:val="24"/>
          <w:szCs w:val="24"/>
          <w:lang w:eastAsia="pl-PL"/>
        </w:rPr>
        <w:t xml:space="preserve">Po wyczerpaniu porządku obrad Przewodniczący zakończył posiedzenie. </w:t>
      </w:r>
    </w:p>
    <w:p w:rsidR="00EA48E6" w:rsidRPr="00E53992" w:rsidRDefault="00EA48E6" w:rsidP="004854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Default="00EA48E6" w:rsidP="00485413">
      <w:pPr>
        <w:tabs>
          <w:tab w:val="left" w:pos="730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48E6" w:rsidRPr="00E53992" w:rsidRDefault="00EA48E6" w:rsidP="00485413">
      <w:pPr>
        <w:tabs>
          <w:tab w:val="left" w:pos="730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3992">
        <w:rPr>
          <w:rFonts w:ascii="Times New Roman" w:hAnsi="Times New Roman"/>
          <w:sz w:val="24"/>
          <w:szCs w:val="24"/>
          <w:lang w:eastAsia="pl-PL"/>
        </w:rPr>
        <w:tab/>
      </w:r>
    </w:p>
    <w:p w:rsidR="00EA48E6" w:rsidRDefault="00EA48E6" w:rsidP="004854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E53992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</w:t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ab/>
        <w:t xml:space="preserve">   Przewodniczący Komisji   </w:t>
      </w:r>
    </w:p>
    <w:p w:rsidR="00EA48E6" w:rsidRPr="00E53992" w:rsidRDefault="00EA48E6" w:rsidP="004854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EA48E6" w:rsidRDefault="00EA48E6" w:rsidP="00485413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</w:t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Antoni Dolny</w:t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EA48E6" w:rsidRDefault="00EA48E6" w:rsidP="00485413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EA48E6" w:rsidRPr="00942191" w:rsidRDefault="00EA48E6" w:rsidP="00485413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EA48E6" w:rsidRPr="00E53992" w:rsidRDefault="00EA48E6" w:rsidP="0048541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53992">
        <w:rPr>
          <w:rFonts w:ascii="Times New Roman" w:hAnsi="Times New Roman"/>
          <w:sz w:val="24"/>
          <w:szCs w:val="24"/>
          <w:lang w:eastAsia="pl-PL"/>
        </w:rPr>
        <w:t xml:space="preserve">protokołował: </w:t>
      </w:r>
    </w:p>
    <w:p w:rsidR="00EA48E6" w:rsidRPr="005B5428" w:rsidRDefault="00EA48E6" w:rsidP="005B542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53992">
        <w:rPr>
          <w:rFonts w:ascii="Times New Roman" w:hAnsi="Times New Roman"/>
          <w:sz w:val="24"/>
          <w:szCs w:val="24"/>
          <w:lang w:eastAsia="pl-PL"/>
        </w:rPr>
        <w:t>Tomasz Dix</w:t>
      </w:r>
      <w:bookmarkEnd w:id="0"/>
      <w:bookmarkEnd w:id="1"/>
      <w:bookmarkEnd w:id="2"/>
    </w:p>
    <w:sectPr w:rsidR="00EA48E6" w:rsidRPr="005B5428" w:rsidSect="00E038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38C" w:rsidRDefault="0033038C">
      <w:pPr>
        <w:spacing w:after="0" w:line="240" w:lineRule="auto"/>
      </w:pPr>
      <w:r>
        <w:separator/>
      </w:r>
    </w:p>
  </w:endnote>
  <w:endnote w:type="continuationSeparator" w:id="0">
    <w:p w:rsidR="0033038C" w:rsidRDefault="0033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8E6" w:rsidRDefault="00EA0CE0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A48E6">
      <w:rPr>
        <w:noProof/>
      </w:rPr>
      <w:t>4</w:t>
    </w:r>
    <w:r>
      <w:rPr>
        <w:noProof/>
      </w:rPr>
      <w:fldChar w:fldCharType="end"/>
    </w:r>
  </w:p>
  <w:p w:rsidR="00EA48E6" w:rsidRDefault="00EA48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38C" w:rsidRDefault="0033038C">
      <w:pPr>
        <w:spacing w:after="0" w:line="240" w:lineRule="auto"/>
      </w:pPr>
      <w:r>
        <w:separator/>
      </w:r>
    </w:p>
  </w:footnote>
  <w:footnote w:type="continuationSeparator" w:id="0">
    <w:p w:rsidR="0033038C" w:rsidRDefault="00330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50BC"/>
    <w:multiLevelType w:val="hybridMultilevel"/>
    <w:tmpl w:val="1D8E2C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A6E97"/>
    <w:multiLevelType w:val="hybridMultilevel"/>
    <w:tmpl w:val="AB80C53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B14"/>
    <w:rsid w:val="00050DBE"/>
    <w:rsid w:val="000A4DBD"/>
    <w:rsid w:val="000D1CBE"/>
    <w:rsid w:val="000F1631"/>
    <w:rsid w:val="0012344A"/>
    <w:rsid w:val="00150392"/>
    <w:rsid w:val="001A063C"/>
    <w:rsid w:val="001A36F7"/>
    <w:rsid w:val="00203968"/>
    <w:rsid w:val="00215EC8"/>
    <w:rsid w:val="00220EDE"/>
    <w:rsid w:val="00226678"/>
    <w:rsid w:val="002369EA"/>
    <w:rsid w:val="00236D45"/>
    <w:rsid w:val="002943F6"/>
    <w:rsid w:val="002B5B0F"/>
    <w:rsid w:val="002E1FDA"/>
    <w:rsid w:val="002F1FC0"/>
    <w:rsid w:val="002F42E9"/>
    <w:rsid w:val="0033038C"/>
    <w:rsid w:val="0034697D"/>
    <w:rsid w:val="00350094"/>
    <w:rsid w:val="003554D4"/>
    <w:rsid w:val="003811D0"/>
    <w:rsid w:val="003F2607"/>
    <w:rsid w:val="00427C16"/>
    <w:rsid w:val="00485413"/>
    <w:rsid w:val="004A4BC9"/>
    <w:rsid w:val="004B0602"/>
    <w:rsid w:val="004D28B0"/>
    <w:rsid w:val="004E4601"/>
    <w:rsid w:val="00502E09"/>
    <w:rsid w:val="00516D06"/>
    <w:rsid w:val="005460DA"/>
    <w:rsid w:val="00557915"/>
    <w:rsid w:val="00566FD0"/>
    <w:rsid w:val="005B19C2"/>
    <w:rsid w:val="005B5428"/>
    <w:rsid w:val="005B5C1D"/>
    <w:rsid w:val="005B79D3"/>
    <w:rsid w:val="005C227E"/>
    <w:rsid w:val="005C22F7"/>
    <w:rsid w:val="005E7D14"/>
    <w:rsid w:val="00612EF6"/>
    <w:rsid w:val="00621C8E"/>
    <w:rsid w:val="00680B14"/>
    <w:rsid w:val="00681D8A"/>
    <w:rsid w:val="00696FC8"/>
    <w:rsid w:val="006C5C3F"/>
    <w:rsid w:val="006D0E18"/>
    <w:rsid w:val="007249AD"/>
    <w:rsid w:val="00791D0E"/>
    <w:rsid w:val="007D56A5"/>
    <w:rsid w:val="00842DB5"/>
    <w:rsid w:val="00852DF7"/>
    <w:rsid w:val="00871722"/>
    <w:rsid w:val="008741D8"/>
    <w:rsid w:val="00877DAC"/>
    <w:rsid w:val="008B4C43"/>
    <w:rsid w:val="008F0117"/>
    <w:rsid w:val="00914274"/>
    <w:rsid w:val="00942191"/>
    <w:rsid w:val="0094373B"/>
    <w:rsid w:val="00954681"/>
    <w:rsid w:val="00955541"/>
    <w:rsid w:val="009764FE"/>
    <w:rsid w:val="00990F1B"/>
    <w:rsid w:val="00992F38"/>
    <w:rsid w:val="009A53C6"/>
    <w:rsid w:val="00A42AAC"/>
    <w:rsid w:val="00A5687C"/>
    <w:rsid w:val="00A66A6B"/>
    <w:rsid w:val="00A66D7A"/>
    <w:rsid w:val="00AA765A"/>
    <w:rsid w:val="00B04DC4"/>
    <w:rsid w:val="00B274A2"/>
    <w:rsid w:val="00BC63D9"/>
    <w:rsid w:val="00BE452B"/>
    <w:rsid w:val="00C2663C"/>
    <w:rsid w:val="00C36BCC"/>
    <w:rsid w:val="00C44A56"/>
    <w:rsid w:val="00C602B1"/>
    <w:rsid w:val="00C96B68"/>
    <w:rsid w:val="00CC396C"/>
    <w:rsid w:val="00CC7A2B"/>
    <w:rsid w:val="00CD10F1"/>
    <w:rsid w:val="00CE1BCE"/>
    <w:rsid w:val="00CE21DA"/>
    <w:rsid w:val="00D33630"/>
    <w:rsid w:val="00D53ABF"/>
    <w:rsid w:val="00D74B20"/>
    <w:rsid w:val="00DE1D41"/>
    <w:rsid w:val="00E0380F"/>
    <w:rsid w:val="00E53992"/>
    <w:rsid w:val="00E655B5"/>
    <w:rsid w:val="00E93B55"/>
    <w:rsid w:val="00EA0CE0"/>
    <w:rsid w:val="00EA48E6"/>
    <w:rsid w:val="00F105B4"/>
    <w:rsid w:val="00F2251E"/>
    <w:rsid w:val="00F23DEE"/>
    <w:rsid w:val="00F24012"/>
    <w:rsid w:val="00F65D19"/>
    <w:rsid w:val="00F875AD"/>
    <w:rsid w:val="00FA6B64"/>
    <w:rsid w:val="00FE04A4"/>
    <w:rsid w:val="00FF5A0F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5F61B2"/>
  <w15:docId w15:val="{C9137D93-AF71-4897-9088-EE2175D0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541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8541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48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5413"/>
    <w:rPr>
      <w:rFonts w:cs="Times New Roman"/>
    </w:rPr>
  </w:style>
  <w:style w:type="table" w:styleId="Tabela-Siatka">
    <w:name w:val="Table Grid"/>
    <w:basedOn w:val="Standardowy"/>
    <w:uiPriority w:val="99"/>
    <w:locked/>
    <w:rsid w:val="00C602B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4</Pages>
  <Words>1205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21</cp:revision>
  <dcterms:created xsi:type="dcterms:W3CDTF">2018-03-19T10:44:00Z</dcterms:created>
  <dcterms:modified xsi:type="dcterms:W3CDTF">2018-10-29T10:59:00Z</dcterms:modified>
</cp:coreProperties>
</file>