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76" w:type="dxa"/>
        <w:tblInd w:w="-147" w:type="dxa"/>
        <w:tblLook w:val="00A0" w:firstRow="1" w:lastRow="0" w:firstColumn="1" w:lastColumn="0" w:noHBand="0" w:noVBand="0"/>
      </w:tblPr>
      <w:tblGrid>
        <w:gridCol w:w="1551"/>
        <w:gridCol w:w="7625"/>
      </w:tblGrid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760C33F" wp14:editId="162F25ED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77470</wp:posOffset>
                  </wp:positionV>
                  <wp:extent cx="5760085" cy="331470"/>
                  <wp:effectExtent l="0" t="0" r="0" b="0"/>
                  <wp:wrapNone/>
                  <wp:docPr id="3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85" cy="331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CC2AFD">
        <w:trPr>
          <w:trHeight w:val="839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C40840" w:rsidRPr="00C40840" w:rsidRDefault="00CC2AFD" w:rsidP="00C40840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16" w:hanging="180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 w:rsidRPr="00CC2AFD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Art.  72-83 ustawy z dnia 25 lutego 1964r. Kod</w:t>
            </w:r>
            <w:r w:rsidR="00BF2AD6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eks rodzinny i opiekuńczy </w:t>
            </w:r>
            <w:r w:rsidR="00C40840" w:rsidRPr="00C40840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(Dz. U. z 2019 poz.2086 ze zm.)</w:t>
            </w:r>
            <w:r w:rsidR="000750D8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,</w:t>
            </w:r>
          </w:p>
          <w:p w:rsidR="00C40840" w:rsidRPr="00C40840" w:rsidRDefault="00CC2AFD" w:rsidP="00C40840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16" w:hanging="180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 w:rsidRPr="00CC2AFD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Art. 63 ustawy z dnia 28 listopada 2014r. Prawo o aktach stanu cywilnego </w:t>
            </w:r>
            <w:r w:rsidR="00C40840" w:rsidRPr="00C40840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(Dz. U. z 2018 poz. 2224 ze zm.)</w:t>
            </w:r>
            <w:r w:rsidR="000750D8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,</w:t>
            </w:r>
          </w:p>
          <w:p w:rsidR="00467552" w:rsidRPr="00CC2AFD" w:rsidRDefault="00CC2AFD" w:rsidP="00C40840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16" w:hanging="180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 w:rsidRPr="00CC2AFD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Cz. I kol. 4 pkt 2 oraz cz. II kol. 4 pkt 6 załącznika do ustawy z dnia 16 listopada 2006r. o opłacie skarbowej </w:t>
            </w:r>
            <w:r w:rsidR="00C40840" w:rsidRPr="00C40840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(Dz. U z 2019 poz. 1000 ze zm.)</w:t>
            </w:r>
            <w:r w:rsidR="000750D8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.</w:t>
            </w: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9CEA700" wp14:editId="77E983C9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81280</wp:posOffset>
                  </wp:positionV>
                  <wp:extent cx="5760085" cy="331470"/>
                  <wp:effectExtent l="0" t="0" r="0" b="0"/>
                  <wp:wrapNone/>
                  <wp:docPr id="4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85" cy="331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Pr="00325D3E" w:rsidRDefault="00467552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B937B6" w:rsidRDefault="00B937B6" w:rsidP="00B937B6">
            <w:pPr>
              <w:tabs>
                <w:tab w:val="left" w:pos="132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B937B6" w:rsidRPr="00325D3E" w:rsidRDefault="00B937B6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CC2AFD" w:rsidRPr="00CC2AFD" w:rsidRDefault="00CC2AFD" w:rsidP="00CC2AFD">
            <w:pPr>
              <w:pStyle w:val="Akapitzlist"/>
              <w:numPr>
                <w:ilvl w:val="0"/>
                <w:numId w:val="1"/>
              </w:numPr>
              <w:tabs>
                <w:tab w:val="left" w:pos="231"/>
              </w:tabs>
              <w:autoSpaceDE w:val="0"/>
              <w:autoSpaceDN w:val="0"/>
              <w:adjustRightInd w:val="0"/>
              <w:spacing w:after="0" w:line="240" w:lineRule="auto"/>
              <w:ind w:hanging="684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 w:rsidRPr="00CC2AFD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Podanie o przyjęcie oświadczenia o uznaniu ojcostwa,</w:t>
            </w:r>
          </w:p>
          <w:p w:rsidR="00CC2AFD" w:rsidRPr="00CC2AFD" w:rsidRDefault="00CC2AFD" w:rsidP="00CC2AFD">
            <w:pPr>
              <w:pStyle w:val="Akapitzlist"/>
              <w:numPr>
                <w:ilvl w:val="0"/>
                <w:numId w:val="1"/>
              </w:numPr>
              <w:tabs>
                <w:tab w:val="left" w:pos="231"/>
              </w:tabs>
              <w:autoSpaceDE w:val="0"/>
              <w:autoSpaceDN w:val="0"/>
              <w:adjustRightInd w:val="0"/>
              <w:spacing w:after="0" w:line="240" w:lineRule="auto"/>
              <w:ind w:hanging="684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 w:rsidRPr="00CC2AFD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Dowody osobiste rodziców -do wglądu,</w:t>
            </w:r>
          </w:p>
          <w:p w:rsidR="00CC2AFD" w:rsidRPr="00CC2AFD" w:rsidRDefault="00CC2AFD" w:rsidP="00CC2AFD">
            <w:pPr>
              <w:pStyle w:val="Akapitzlist"/>
              <w:numPr>
                <w:ilvl w:val="0"/>
                <w:numId w:val="1"/>
              </w:numPr>
              <w:tabs>
                <w:tab w:val="left" w:pos="231"/>
              </w:tabs>
              <w:autoSpaceDE w:val="0"/>
              <w:autoSpaceDN w:val="0"/>
              <w:adjustRightInd w:val="0"/>
              <w:spacing w:after="0" w:line="240" w:lineRule="auto"/>
              <w:ind w:left="216" w:hanging="180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 w:rsidRPr="00CC2AFD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Jeśli matka dziecka wstępowała już w związek małżeński - dokumenty wykazujące brak domniemania pochodzenia dziecka od męża matki (odpis skrócony aktu małżeństwa z adnotacją o ustaniu, unieważnieniu lub separacji  małżeństwa, ewentualnie prawomocne orzeczenie sądu),</w:t>
            </w:r>
          </w:p>
          <w:p w:rsidR="00467552" w:rsidRPr="00F67C02" w:rsidRDefault="00CC2AFD" w:rsidP="00CC2AFD">
            <w:pPr>
              <w:pStyle w:val="Akapitzlist"/>
              <w:numPr>
                <w:ilvl w:val="0"/>
                <w:numId w:val="1"/>
              </w:numPr>
              <w:tabs>
                <w:tab w:val="left" w:pos="231"/>
              </w:tabs>
              <w:autoSpaceDE w:val="0"/>
              <w:autoSpaceDN w:val="0"/>
              <w:adjustRightInd w:val="0"/>
              <w:spacing w:after="0" w:line="240" w:lineRule="auto"/>
              <w:ind w:hanging="684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 w:rsidRPr="00CC2AFD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Zaświadczenie lekarskie – w przypadku dziecka poczętego</w:t>
            </w:r>
            <w:bookmarkStart w:id="0" w:name="_GoBack"/>
            <w:bookmarkEnd w:id="0"/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471BF96" wp14:editId="2ACFCA37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76200</wp:posOffset>
                  </wp:positionV>
                  <wp:extent cx="5716270" cy="328930"/>
                  <wp:effectExtent l="0" t="0" r="0" b="0"/>
                  <wp:wrapNone/>
                  <wp:docPr id="5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6270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Default="00467552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B937B6" w:rsidRPr="00325D3E" w:rsidRDefault="00B937B6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CC2AFD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C2AFD">
              <w:rPr>
                <w:rFonts w:ascii="Tahoma" w:hAnsi="Tahoma" w:cs="Tahoma"/>
                <w:sz w:val="20"/>
                <w:szCs w:val="20"/>
              </w:rPr>
              <w:t>Zwolnione z opłaty</w:t>
            </w: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08D68F7" wp14:editId="4C007C0F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78740</wp:posOffset>
                  </wp:positionV>
                  <wp:extent cx="5721985" cy="329565"/>
                  <wp:effectExtent l="0" t="0" r="0" b="0"/>
                  <wp:wrapNone/>
                  <wp:docPr id="6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985" cy="329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Default="00467552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B937B6" w:rsidRPr="00325D3E" w:rsidRDefault="00B937B6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CC2AFD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C2AFD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W dniu stawienia się stron</w:t>
            </w: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49A42B5C" wp14:editId="3A203A8B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77470</wp:posOffset>
                  </wp:positionV>
                  <wp:extent cx="5721350" cy="329565"/>
                  <wp:effectExtent l="0" t="0" r="0" b="0"/>
                  <wp:wrapNone/>
                  <wp:docPr id="7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350" cy="329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Default="00467552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B937B6" w:rsidRPr="00325D3E" w:rsidRDefault="00B937B6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963B6E">
        <w:trPr>
          <w:trHeight w:val="706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CC2AFD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C2AFD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Jeżeli </w:t>
            </w:r>
            <w:r w:rsidR="00611249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K</w:t>
            </w:r>
            <w:r w:rsidRPr="00CC2AFD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ierownik USC odmówi przyjęcia oświadczeń, nie później niż w terminie 7 dni na piśmie powiadamia mężczyznę, który twierdzi, że jest ojcem dziecka i matkę dziecka o przyczynach odmowy i możliwości uznania ojcostwa przed sądem opiekuńczym</w:t>
            </w: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18EF354F" wp14:editId="2BDCE63A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76835</wp:posOffset>
                  </wp:positionV>
                  <wp:extent cx="5721350" cy="329565"/>
                  <wp:effectExtent l="0" t="0" r="0" b="0"/>
                  <wp:wrapNone/>
                  <wp:docPr id="8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350" cy="329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44968" w:rsidRPr="00D44968" w:rsidRDefault="00D44968" w:rsidP="00C40840">
      <w:pPr>
        <w:pStyle w:val="Akapitzlist"/>
        <w:numPr>
          <w:ilvl w:val="0"/>
          <w:numId w:val="4"/>
        </w:numPr>
        <w:tabs>
          <w:tab w:val="left" w:pos="1620"/>
        </w:tabs>
        <w:ind w:left="1620" w:hanging="180"/>
        <w:jc w:val="both"/>
        <w:rPr>
          <w:rFonts w:ascii="Tahoma" w:hAnsi="Tahoma" w:cs="Tahoma"/>
          <w:sz w:val="20"/>
          <w:szCs w:val="20"/>
        </w:rPr>
      </w:pPr>
      <w:r w:rsidRPr="00D44968">
        <w:rPr>
          <w:rFonts w:ascii="Tahoma" w:hAnsi="Tahoma" w:cs="Tahoma"/>
          <w:sz w:val="20"/>
          <w:szCs w:val="20"/>
        </w:rPr>
        <w:t>Uznanie ojcostwa jest formą ustalenia ojcostwa i może nastąpić, jeżeli nie zachodzi domniemanie, że ojcem dziecka jest mąż jego matki, albo gdy domniemanie takie zostało obalone. Uznanie ojcostwa nie może nastąpić, jeżeli toczy się postępowanie sądowe o ustalenie ojcostwa. Przesłanką konieczną prawnej skuteczności uznania ojcostwa jest potwierdzenie przez matkę dziecka jego pochodzenia od określonego mężczyzny, przyznającego ojcostwo.</w:t>
      </w:r>
    </w:p>
    <w:p w:rsidR="00C40840" w:rsidRDefault="00D44968" w:rsidP="00C40840">
      <w:pPr>
        <w:pStyle w:val="Akapitzlist"/>
        <w:numPr>
          <w:ilvl w:val="0"/>
          <w:numId w:val="4"/>
        </w:numPr>
        <w:tabs>
          <w:tab w:val="left" w:pos="1620"/>
        </w:tabs>
        <w:ind w:left="1620" w:hanging="180"/>
        <w:jc w:val="both"/>
        <w:rPr>
          <w:rFonts w:ascii="Tahoma" w:hAnsi="Tahoma" w:cs="Tahoma"/>
          <w:sz w:val="20"/>
          <w:szCs w:val="20"/>
        </w:rPr>
      </w:pPr>
      <w:r w:rsidRPr="00D44968">
        <w:rPr>
          <w:rFonts w:ascii="Tahoma" w:hAnsi="Tahoma" w:cs="Tahoma"/>
          <w:sz w:val="20"/>
          <w:szCs w:val="20"/>
        </w:rPr>
        <w:t xml:space="preserve">Można uznać ojcostwo przed urodzeniem się dziecka już poczętego. Uznanie ojcostwa nie może nastąpić po osiągnięciu przez dziecko pełnoletniości. Oświadczenie o uznaniu ojcostwa można złożyć w każdym urzędzie stanu cywilnego. Oświadczenie konieczne do uznania ojcostwa może złożyć osoba, która ukończyła szesnaście lat, jednakże tylko przed sądem. Jeżeli dziecko zmarło przed osiągnięciem pełnoletności, uznanie ojcostwa może nastąpić w ciągu 6 miesięcy od dnia, w którym mężczyzna składający oświadczenie dowiedział się o śmierci dziecka, nie później niż do dnia, w którym dziecko osiągnęłoby pełnoletność.  </w:t>
      </w:r>
    </w:p>
    <w:p w:rsidR="00C40840" w:rsidRDefault="00C40840" w:rsidP="00C40840">
      <w:pPr>
        <w:pStyle w:val="Akapitzlist"/>
        <w:numPr>
          <w:ilvl w:val="0"/>
          <w:numId w:val="4"/>
        </w:numPr>
        <w:tabs>
          <w:tab w:val="left" w:pos="1620"/>
        </w:tabs>
        <w:ind w:left="1620" w:hanging="180"/>
        <w:jc w:val="both"/>
        <w:rPr>
          <w:rFonts w:ascii="Tahoma" w:hAnsi="Tahoma" w:cs="Tahoma"/>
          <w:sz w:val="20"/>
          <w:szCs w:val="20"/>
        </w:rPr>
      </w:pPr>
      <w:r w:rsidRPr="00D44968">
        <w:rPr>
          <w:rFonts w:ascii="Tahoma" w:hAnsi="Tahoma" w:cs="Tahoma"/>
          <w:sz w:val="20"/>
          <w:szCs w:val="20"/>
        </w:rPr>
        <w:lastRenderedPageBreak/>
        <w:t xml:space="preserve">Kierownik </w:t>
      </w:r>
      <w:proofErr w:type="spellStart"/>
      <w:r w:rsidRPr="00D44968">
        <w:rPr>
          <w:rFonts w:ascii="Tahoma" w:hAnsi="Tahoma" w:cs="Tahoma"/>
          <w:sz w:val="20"/>
          <w:szCs w:val="20"/>
        </w:rPr>
        <w:t>usc</w:t>
      </w:r>
      <w:proofErr w:type="spellEnd"/>
      <w:r w:rsidRPr="00D44968">
        <w:rPr>
          <w:rFonts w:ascii="Tahoma" w:hAnsi="Tahoma" w:cs="Tahoma"/>
          <w:sz w:val="20"/>
          <w:szCs w:val="20"/>
        </w:rPr>
        <w:t xml:space="preserve"> wydaje, na wniosek matki lub ojca dziecka, pisemne zaświadczenie potwierdzające uznanie ojcostwa.</w:t>
      </w:r>
    </w:p>
    <w:p w:rsidR="00D44968" w:rsidRPr="00C40840" w:rsidRDefault="00D44968" w:rsidP="00C40840">
      <w:pPr>
        <w:tabs>
          <w:tab w:val="left" w:pos="1620"/>
        </w:tabs>
        <w:jc w:val="both"/>
        <w:rPr>
          <w:rFonts w:ascii="Tahoma" w:hAnsi="Tahoma" w:cs="Tahoma"/>
          <w:sz w:val="20"/>
          <w:szCs w:val="20"/>
        </w:rPr>
      </w:pPr>
    </w:p>
    <w:p w:rsidR="00D44968" w:rsidRPr="00F67C02" w:rsidRDefault="00D44968" w:rsidP="00D44968">
      <w:pPr>
        <w:pStyle w:val="Akapitzlist"/>
        <w:tabs>
          <w:tab w:val="left" w:pos="1620"/>
        </w:tabs>
        <w:ind w:left="1620"/>
        <w:rPr>
          <w:rFonts w:ascii="Tahoma" w:hAnsi="Tahoma" w:cs="Tahoma"/>
          <w:sz w:val="20"/>
          <w:szCs w:val="20"/>
        </w:rPr>
      </w:pPr>
    </w:p>
    <w:sectPr w:rsidR="00D44968" w:rsidRPr="00F67C02" w:rsidSect="00A129FF">
      <w:headerReference w:type="default" r:id="rId13"/>
      <w:footerReference w:type="default" r:id="rId14"/>
      <w:pgSz w:w="11906" w:h="16838"/>
      <w:pgMar w:top="1985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00B" w:rsidRDefault="00ED700B" w:rsidP="00FD0FAE">
      <w:pPr>
        <w:spacing w:after="0" w:line="240" w:lineRule="auto"/>
      </w:pPr>
      <w:r>
        <w:separator/>
      </w:r>
    </w:p>
  </w:endnote>
  <w:endnote w:type="continuationSeparator" w:id="0">
    <w:p w:rsidR="00ED700B" w:rsidRDefault="00ED700B" w:rsidP="00FD0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552" w:rsidRPr="00FD0FAE" w:rsidRDefault="00467552">
    <w:pPr>
      <w:pStyle w:val="Stopka"/>
      <w:jc w:val="right"/>
      <w:rPr>
        <w:rFonts w:ascii="Calibri" w:hAnsi="Calibri"/>
        <w:sz w:val="20"/>
        <w:szCs w:val="20"/>
      </w:rPr>
    </w:pPr>
    <w:r w:rsidRPr="00FD0FAE">
      <w:rPr>
        <w:rFonts w:ascii="Calibri" w:hAnsi="Calibri"/>
        <w:sz w:val="20"/>
        <w:szCs w:val="20"/>
      </w:rPr>
      <w:t xml:space="preserve">Strona </w:t>
    </w:r>
    <w:r w:rsidRPr="00FD0FAE">
      <w:rPr>
        <w:rFonts w:ascii="Calibri" w:hAnsi="Calibri"/>
        <w:bCs/>
        <w:sz w:val="20"/>
        <w:szCs w:val="20"/>
      </w:rPr>
      <w:fldChar w:fldCharType="begin"/>
    </w:r>
    <w:r w:rsidRPr="00FD0FAE">
      <w:rPr>
        <w:rFonts w:ascii="Calibri" w:hAnsi="Calibri"/>
        <w:bCs/>
        <w:sz w:val="20"/>
        <w:szCs w:val="20"/>
      </w:rPr>
      <w:instrText>PAGE</w:instrText>
    </w:r>
    <w:r w:rsidRPr="00FD0FAE">
      <w:rPr>
        <w:rFonts w:ascii="Calibri" w:hAnsi="Calibri"/>
        <w:bCs/>
        <w:sz w:val="20"/>
        <w:szCs w:val="20"/>
      </w:rPr>
      <w:fldChar w:fldCharType="separate"/>
    </w:r>
    <w:r w:rsidR="00A148D6">
      <w:rPr>
        <w:rFonts w:ascii="Calibri" w:hAnsi="Calibri"/>
        <w:bCs/>
        <w:noProof/>
        <w:sz w:val="20"/>
        <w:szCs w:val="20"/>
      </w:rPr>
      <w:t>1</w:t>
    </w:r>
    <w:r w:rsidRPr="00FD0FAE">
      <w:rPr>
        <w:rFonts w:ascii="Calibri" w:hAnsi="Calibri"/>
        <w:bCs/>
        <w:sz w:val="20"/>
        <w:szCs w:val="20"/>
      </w:rPr>
      <w:fldChar w:fldCharType="end"/>
    </w:r>
    <w:r w:rsidRPr="00FD0FAE">
      <w:rPr>
        <w:rFonts w:ascii="Calibri" w:hAnsi="Calibri"/>
        <w:sz w:val="20"/>
        <w:szCs w:val="20"/>
      </w:rPr>
      <w:t xml:space="preserve"> z </w:t>
    </w:r>
    <w:r w:rsidRPr="00FD0FAE">
      <w:rPr>
        <w:rFonts w:ascii="Calibri" w:hAnsi="Calibri"/>
        <w:bCs/>
        <w:sz w:val="20"/>
        <w:szCs w:val="20"/>
      </w:rPr>
      <w:fldChar w:fldCharType="begin"/>
    </w:r>
    <w:r w:rsidRPr="00FD0FAE">
      <w:rPr>
        <w:rFonts w:ascii="Calibri" w:hAnsi="Calibri"/>
        <w:bCs/>
        <w:sz w:val="20"/>
        <w:szCs w:val="20"/>
      </w:rPr>
      <w:instrText>NUMPAGES</w:instrText>
    </w:r>
    <w:r w:rsidRPr="00FD0FAE">
      <w:rPr>
        <w:rFonts w:ascii="Calibri" w:hAnsi="Calibri"/>
        <w:bCs/>
        <w:sz w:val="20"/>
        <w:szCs w:val="20"/>
      </w:rPr>
      <w:fldChar w:fldCharType="separate"/>
    </w:r>
    <w:r w:rsidR="00A148D6">
      <w:rPr>
        <w:rFonts w:ascii="Calibri" w:hAnsi="Calibri"/>
        <w:bCs/>
        <w:noProof/>
        <w:sz w:val="20"/>
        <w:szCs w:val="20"/>
      </w:rPr>
      <w:t>2</w:t>
    </w:r>
    <w:r w:rsidRPr="00FD0FAE">
      <w:rPr>
        <w:rFonts w:ascii="Calibri" w:hAnsi="Calibri"/>
        <w:bCs/>
        <w:sz w:val="20"/>
        <w:szCs w:val="20"/>
      </w:rPr>
      <w:fldChar w:fldCharType="end"/>
    </w:r>
  </w:p>
  <w:p w:rsidR="00467552" w:rsidRDefault="004675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00B" w:rsidRDefault="00ED700B" w:rsidP="00FD0FAE">
      <w:pPr>
        <w:spacing w:after="0" w:line="240" w:lineRule="auto"/>
      </w:pPr>
      <w:r>
        <w:separator/>
      </w:r>
    </w:p>
  </w:footnote>
  <w:footnote w:type="continuationSeparator" w:id="0">
    <w:p w:rsidR="00ED700B" w:rsidRDefault="00ED700B" w:rsidP="00FD0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27" w:type="dxa"/>
      <w:tblLook w:val="00A0" w:firstRow="1" w:lastRow="0" w:firstColumn="1" w:lastColumn="0" w:noHBand="0" w:noVBand="0"/>
    </w:tblPr>
    <w:tblGrid>
      <w:gridCol w:w="596"/>
      <w:gridCol w:w="387"/>
      <w:gridCol w:w="8044"/>
    </w:tblGrid>
    <w:tr w:rsidR="00467552" w:rsidTr="00605135">
      <w:trPr>
        <w:trHeight w:hRule="exact" w:val="195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 w:val="restart"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 w:val="restart"/>
          <w:tcBorders>
            <w:right w:val="single" w:sz="6" w:space="0" w:color="6DB4BA"/>
          </w:tcBorders>
          <w:shd w:val="clear" w:color="auto" w:fill="6DB4BA"/>
          <w:vAlign w:val="center"/>
        </w:tcPr>
        <w:p w:rsidR="00467552" w:rsidRPr="00434292" w:rsidRDefault="00467552" w:rsidP="00434292">
          <w:pPr>
            <w:spacing w:after="0" w:line="240" w:lineRule="auto"/>
            <w:jc w:val="center"/>
            <w:rPr>
              <w:rFonts w:ascii="Calibri" w:hAnsi="Calibri"/>
              <w:color w:val="FFFFFF"/>
              <w:sz w:val="32"/>
            </w:rPr>
          </w:pPr>
          <w:r w:rsidRPr="00434292">
            <w:rPr>
              <w:rFonts w:ascii="Calibri" w:hAnsi="Calibri"/>
              <w:color w:val="FFFFFF"/>
              <w:sz w:val="32"/>
              <w:szCs w:val="22"/>
            </w:rPr>
            <w:t>KARTA USŁUGI</w:t>
          </w:r>
        </w:p>
        <w:p w:rsidR="00467552" w:rsidRPr="00434292" w:rsidRDefault="00963B6E" w:rsidP="00963B6E">
          <w:pPr>
            <w:spacing w:after="0" w:line="240" w:lineRule="auto"/>
            <w:contextualSpacing/>
            <w:jc w:val="center"/>
            <w:rPr>
              <w:rFonts w:ascii="Calibri" w:hAnsi="Calibri"/>
            </w:rPr>
          </w:pPr>
          <w:r>
            <w:rPr>
              <w:rFonts w:ascii="Calibri" w:hAnsi="Calibri"/>
              <w:color w:val="FFFFFF"/>
              <w:sz w:val="20"/>
              <w:szCs w:val="22"/>
            </w:rPr>
            <w:t>USC</w:t>
          </w:r>
        </w:p>
      </w:tc>
    </w:tr>
    <w:tr w:rsidR="00467552" w:rsidTr="00605135">
      <w:trPr>
        <w:trHeight w:val="281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/>
          <w:tcBorders>
            <w:right w:val="single" w:sz="6" w:space="0" w:color="6DB4BA"/>
          </w:tcBorders>
          <w:shd w:val="clear" w:color="auto" w:fill="6DB4BA"/>
        </w:tcPr>
        <w:p w:rsidR="00467552" w:rsidRPr="00434292" w:rsidRDefault="00467552" w:rsidP="00434292">
          <w:pPr>
            <w:spacing w:after="0" w:line="240" w:lineRule="auto"/>
            <w:jc w:val="center"/>
            <w:rPr>
              <w:rFonts w:ascii="Tahoma" w:hAnsi="Tahoma" w:cs="Tahoma"/>
            </w:rPr>
          </w:pPr>
        </w:p>
      </w:tc>
    </w:tr>
    <w:tr w:rsidR="00467552" w:rsidTr="00605135">
      <w:trPr>
        <w:trHeight w:hRule="exact" w:val="195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/>
          <w:tcBorders>
            <w:right w:val="single" w:sz="6" w:space="0" w:color="6DB4BA"/>
          </w:tcBorders>
          <w:shd w:val="clear" w:color="auto" w:fill="6DB4BA"/>
          <w:vAlign w:val="center"/>
        </w:tcPr>
        <w:p w:rsidR="00467552" w:rsidRPr="00434292" w:rsidRDefault="00467552" w:rsidP="00434292">
          <w:pPr>
            <w:spacing w:after="0" w:line="240" w:lineRule="auto"/>
            <w:jc w:val="center"/>
            <w:rPr>
              <w:rFonts w:ascii="Calibri" w:hAnsi="Calibri"/>
              <w:sz w:val="12"/>
            </w:rPr>
          </w:pPr>
        </w:p>
      </w:tc>
    </w:tr>
    <w:tr w:rsidR="00467552" w:rsidTr="00DA73BD">
      <w:trPr>
        <w:trHeight w:val="281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 w:val="restart"/>
          <w:tcBorders>
            <w:right w:val="single" w:sz="6" w:space="0" w:color="6DB4BA"/>
          </w:tcBorders>
          <w:vAlign w:val="center"/>
        </w:tcPr>
        <w:p w:rsidR="00467552" w:rsidRPr="00434292" w:rsidRDefault="00A54803" w:rsidP="00434292">
          <w:pPr>
            <w:spacing w:after="0" w:line="240" w:lineRule="auto"/>
            <w:jc w:val="center"/>
            <w:rPr>
              <w:rFonts w:ascii="Calibri" w:hAnsi="Calibri"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F4EDD1C" wp14:editId="2F854128">
                <wp:simplePos x="0" y="0"/>
                <wp:positionH relativeFrom="column">
                  <wp:posOffset>-947420</wp:posOffset>
                </wp:positionH>
                <wp:positionV relativeFrom="paragraph">
                  <wp:posOffset>-558165</wp:posOffset>
                </wp:positionV>
                <wp:extent cx="1122045" cy="1104900"/>
                <wp:effectExtent l="0" t="0" r="1905" b="0"/>
                <wp:wrapNone/>
                <wp:docPr id="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045" cy="1104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6628D" w:rsidRPr="00FF4D4C" w:rsidRDefault="00C0407B" w:rsidP="0016628D">
          <w:pPr>
            <w:spacing w:after="0" w:line="240" w:lineRule="auto"/>
            <w:jc w:val="center"/>
            <w:rPr>
              <w:color w:val="FFFFFF"/>
            </w:rPr>
          </w:pPr>
          <w:r w:rsidRPr="00C0407B">
            <w:rPr>
              <w:b/>
              <w:bCs/>
              <w:sz w:val="20"/>
              <w:szCs w:val="20"/>
            </w:rPr>
            <w:t>UZNANIE OJCOSTWA</w:t>
          </w:r>
        </w:p>
      </w:tc>
    </w:tr>
    <w:tr w:rsidR="00467552" w:rsidTr="00DA73BD">
      <w:trPr>
        <w:trHeight w:hRule="exact" w:val="195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/>
          <w:tcBorders>
            <w:right w:val="single" w:sz="6" w:space="0" w:color="6DB4BA"/>
          </w:tcBorders>
        </w:tcPr>
        <w:p w:rsidR="00467552" w:rsidRPr="00FF4D4C" w:rsidRDefault="00467552" w:rsidP="00434292">
          <w:pPr>
            <w:spacing w:after="0" w:line="240" w:lineRule="auto"/>
            <w:jc w:val="center"/>
            <w:rPr>
              <w:rFonts w:ascii="Calibri" w:hAnsi="Calibri"/>
              <w:color w:val="FFFFFF"/>
            </w:rPr>
          </w:pPr>
        </w:p>
      </w:tc>
    </w:tr>
    <w:tr w:rsidR="00467552" w:rsidTr="00DA73BD">
      <w:trPr>
        <w:trHeight w:val="281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/>
          <w:tcBorders>
            <w:bottom w:val="single" w:sz="8" w:space="0" w:color="6DB4BA"/>
            <w:right w:val="single" w:sz="6" w:space="0" w:color="6DB4BA"/>
          </w:tcBorders>
        </w:tcPr>
        <w:p w:rsidR="00467552" w:rsidRPr="00FF4D4C" w:rsidRDefault="00467552" w:rsidP="00434292">
          <w:pPr>
            <w:spacing w:after="0" w:line="240" w:lineRule="auto"/>
            <w:jc w:val="center"/>
            <w:rPr>
              <w:color w:val="FFFFFF"/>
            </w:rPr>
          </w:pPr>
        </w:p>
      </w:tc>
    </w:tr>
    <w:tr w:rsidR="00467552" w:rsidRPr="00BF2AD6" w:rsidTr="00434292">
      <w:trPr>
        <w:trHeight w:val="295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 w:val="restart"/>
        </w:tcPr>
        <w:p w:rsidR="00467552" w:rsidRPr="0061768F" w:rsidRDefault="00467552" w:rsidP="00434292">
          <w:pPr>
            <w:spacing w:after="0" w:line="240" w:lineRule="auto"/>
            <w:rPr>
              <w:rFonts w:ascii="Calibri" w:hAnsi="Calibri"/>
              <w:sz w:val="16"/>
              <w:lang w:val="en-US"/>
            </w:rPr>
          </w:pPr>
          <w:r w:rsidRPr="00434292">
            <w:rPr>
              <w:rFonts w:ascii="Calibri" w:hAnsi="Calibri"/>
              <w:sz w:val="16"/>
              <w:szCs w:val="22"/>
            </w:rPr>
            <w:t xml:space="preserve">Urząd Miejski w Sępólnie Krajeńskim, ul. Tadeusza Kościuszki 11, 89-400 Sępólno Krajeńskie, </w:t>
          </w:r>
          <w:r w:rsidRPr="00434292">
            <w:rPr>
              <w:rFonts w:ascii="Calibri" w:hAnsi="Calibri"/>
              <w:sz w:val="16"/>
              <w:szCs w:val="22"/>
            </w:rPr>
            <w:br/>
            <w:t>czynny pon. 7:30-15:30; wt. 7:30-16:00; śr., czw. 7:30-15:30; p</w:t>
          </w:r>
          <w:r w:rsidR="003C2E8F">
            <w:rPr>
              <w:rFonts w:ascii="Calibri" w:hAnsi="Calibri"/>
              <w:sz w:val="16"/>
              <w:szCs w:val="22"/>
            </w:rPr>
            <w:t>t</w:t>
          </w:r>
          <w:r w:rsidRPr="00434292">
            <w:rPr>
              <w:rFonts w:ascii="Calibri" w:hAnsi="Calibri"/>
              <w:sz w:val="16"/>
              <w:szCs w:val="22"/>
            </w:rPr>
            <w:t>. 7:30-15:00</w:t>
          </w:r>
          <w:r w:rsidRPr="00434292">
            <w:rPr>
              <w:rFonts w:ascii="Calibri" w:hAnsi="Calibri"/>
              <w:sz w:val="16"/>
              <w:szCs w:val="22"/>
            </w:rPr>
            <w:br/>
            <w:t xml:space="preserve">tel. </w:t>
          </w:r>
          <w:r w:rsidRPr="0061768F">
            <w:rPr>
              <w:rFonts w:ascii="Calibri" w:hAnsi="Calibri"/>
              <w:sz w:val="16"/>
              <w:szCs w:val="22"/>
              <w:lang w:val="en-US"/>
            </w:rPr>
            <w:t>+48 52 3894210, tel. +48 52 3894230, fax. +48 52 3894220, nr</w:t>
          </w:r>
          <w:r w:rsidR="00A63481">
            <w:rPr>
              <w:rFonts w:ascii="Calibri" w:hAnsi="Calibri"/>
              <w:sz w:val="16"/>
              <w:szCs w:val="22"/>
              <w:lang w:val="en-US"/>
            </w:rPr>
            <w:t xml:space="preserve"> </w:t>
          </w:r>
          <w:proofErr w:type="spellStart"/>
          <w:r w:rsidRPr="0061768F">
            <w:rPr>
              <w:rFonts w:ascii="Calibri" w:hAnsi="Calibri"/>
              <w:sz w:val="16"/>
              <w:szCs w:val="22"/>
              <w:lang w:val="en-US"/>
            </w:rPr>
            <w:t>konta</w:t>
          </w:r>
          <w:proofErr w:type="spellEnd"/>
          <w:r w:rsidRPr="0061768F">
            <w:rPr>
              <w:rFonts w:ascii="Calibri" w:hAnsi="Calibri"/>
              <w:sz w:val="16"/>
              <w:szCs w:val="22"/>
              <w:lang w:val="en-US"/>
            </w:rPr>
            <w:t xml:space="preserve">: 75 2030 0045 1110 0000 0286 4620 </w:t>
          </w:r>
        </w:p>
        <w:p w:rsidR="00467552" w:rsidRPr="0061768F" w:rsidRDefault="00467552" w:rsidP="00434292">
          <w:pPr>
            <w:spacing w:after="0" w:line="240" w:lineRule="auto"/>
            <w:rPr>
              <w:rFonts w:ascii="Calibri" w:hAnsi="Calibri"/>
              <w:lang w:val="en-US"/>
            </w:rPr>
          </w:pPr>
          <w:r w:rsidRPr="0061768F">
            <w:rPr>
              <w:rFonts w:ascii="Calibri" w:hAnsi="Calibri"/>
              <w:sz w:val="16"/>
              <w:szCs w:val="22"/>
              <w:lang w:val="en-US"/>
            </w:rPr>
            <w:t>www.gmina-sepolno.pl www.bip.gmina-sepolno.pl sekretariat@gmina-sepolno.pl</w:t>
          </w:r>
        </w:p>
      </w:tc>
    </w:tr>
    <w:tr w:rsidR="00467552" w:rsidRPr="00BF2AD6" w:rsidTr="00434292">
      <w:trPr>
        <w:trHeight w:val="460"/>
      </w:trPr>
      <w:tc>
        <w:tcPr>
          <w:tcW w:w="596" w:type="dxa"/>
        </w:tcPr>
        <w:p w:rsidR="00467552" w:rsidRPr="0061768F" w:rsidRDefault="00467552" w:rsidP="00434292">
          <w:pPr>
            <w:spacing w:after="0" w:line="240" w:lineRule="auto"/>
            <w:rPr>
              <w:lang w:val="en-US"/>
            </w:rPr>
          </w:pPr>
        </w:p>
      </w:tc>
      <w:tc>
        <w:tcPr>
          <w:tcW w:w="387" w:type="dxa"/>
        </w:tcPr>
        <w:p w:rsidR="00467552" w:rsidRPr="0061768F" w:rsidRDefault="00467552" w:rsidP="00434292">
          <w:pPr>
            <w:spacing w:after="0" w:line="240" w:lineRule="auto"/>
            <w:rPr>
              <w:lang w:val="en-US"/>
            </w:rPr>
          </w:pPr>
        </w:p>
      </w:tc>
      <w:tc>
        <w:tcPr>
          <w:tcW w:w="8044" w:type="dxa"/>
          <w:vMerge/>
        </w:tcPr>
        <w:p w:rsidR="00467552" w:rsidRPr="0061768F" w:rsidRDefault="00467552" w:rsidP="00434292">
          <w:pPr>
            <w:spacing w:after="0" w:line="240" w:lineRule="auto"/>
            <w:rPr>
              <w:lang w:val="en-US"/>
            </w:rPr>
          </w:pPr>
        </w:p>
      </w:tc>
    </w:tr>
  </w:tbl>
  <w:p w:rsidR="00467552" w:rsidRPr="0061768F" w:rsidRDefault="00467552" w:rsidP="00A129FF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4003C"/>
    <w:multiLevelType w:val="hybridMultilevel"/>
    <w:tmpl w:val="FEB4EABE"/>
    <w:lvl w:ilvl="0" w:tplc="EE748D0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51E13"/>
    <w:multiLevelType w:val="hybridMultilevel"/>
    <w:tmpl w:val="E6444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E30AB"/>
    <w:multiLevelType w:val="hybridMultilevel"/>
    <w:tmpl w:val="A738C114"/>
    <w:lvl w:ilvl="0" w:tplc="379CB516">
      <w:numFmt w:val="bullet"/>
      <w:lvlText w:val="•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B40EA"/>
    <w:multiLevelType w:val="hybridMultilevel"/>
    <w:tmpl w:val="6CC8B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510E0"/>
    <w:multiLevelType w:val="hybridMultilevel"/>
    <w:tmpl w:val="75FE2E20"/>
    <w:lvl w:ilvl="0" w:tplc="6770B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FA53025"/>
    <w:multiLevelType w:val="hybridMultilevel"/>
    <w:tmpl w:val="8814E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047"/>
    <w:rsid w:val="000248ED"/>
    <w:rsid w:val="00052F9F"/>
    <w:rsid w:val="00061849"/>
    <w:rsid w:val="000750D8"/>
    <w:rsid w:val="00110E78"/>
    <w:rsid w:val="0014216D"/>
    <w:rsid w:val="00147E0F"/>
    <w:rsid w:val="001551ED"/>
    <w:rsid w:val="0016628D"/>
    <w:rsid w:val="00187688"/>
    <w:rsid w:val="00197904"/>
    <w:rsid w:val="001A7B5F"/>
    <w:rsid w:val="001F214B"/>
    <w:rsid w:val="0021226E"/>
    <w:rsid w:val="002307E0"/>
    <w:rsid w:val="002838C2"/>
    <w:rsid w:val="002C5047"/>
    <w:rsid w:val="002F2B74"/>
    <w:rsid w:val="00325D3E"/>
    <w:rsid w:val="00327D9C"/>
    <w:rsid w:val="003A58B0"/>
    <w:rsid w:val="003C2E8F"/>
    <w:rsid w:val="003D2651"/>
    <w:rsid w:val="00434292"/>
    <w:rsid w:val="004557CF"/>
    <w:rsid w:val="00457D0C"/>
    <w:rsid w:val="00467552"/>
    <w:rsid w:val="004A5D1E"/>
    <w:rsid w:val="004C448D"/>
    <w:rsid w:val="00514749"/>
    <w:rsid w:val="00527A21"/>
    <w:rsid w:val="00544CCB"/>
    <w:rsid w:val="00581A71"/>
    <w:rsid w:val="005A5CBA"/>
    <w:rsid w:val="005B7AE2"/>
    <w:rsid w:val="005F4ED4"/>
    <w:rsid w:val="00605135"/>
    <w:rsid w:val="006062CF"/>
    <w:rsid w:val="00607238"/>
    <w:rsid w:val="00611249"/>
    <w:rsid w:val="0061768F"/>
    <w:rsid w:val="00626017"/>
    <w:rsid w:val="00656FF1"/>
    <w:rsid w:val="006F457B"/>
    <w:rsid w:val="00822A65"/>
    <w:rsid w:val="008255FF"/>
    <w:rsid w:val="00831655"/>
    <w:rsid w:val="008A48D5"/>
    <w:rsid w:val="00912037"/>
    <w:rsid w:val="00926D56"/>
    <w:rsid w:val="00952FB6"/>
    <w:rsid w:val="00963B6E"/>
    <w:rsid w:val="009B34EF"/>
    <w:rsid w:val="00A129FF"/>
    <w:rsid w:val="00A148D6"/>
    <w:rsid w:val="00A42ED8"/>
    <w:rsid w:val="00A54803"/>
    <w:rsid w:val="00A63481"/>
    <w:rsid w:val="00A840EA"/>
    <w:rsid w:val="00AA4FCF"/>
    <w:rsid w:val="00AF0265"/>
    <w:rsid w:val="00B00AB8"/>
    <w:rsid w:val="00B15229"/>
    <w:rsid w:val="00B937B6"/>
    <w:rsid w:val="00BC7E06"/>
    <w:rsid w:val="00BF2AD6"/>
    <w:rsid w:val="00C0407B"/>
    <w:rsid w:val="00C26A71"/>
    <w:rsid w:val="00C40840"/>
    <w:rsid w:val="00C53E2E"/>
    <w:rsid w:val="00C83F7F"/>
    <w:rsid w:val="00CC2AFD"/>
    <w:rsid w:val="00CE5D9D"/>
    <w:rsid w:val="00D12136"/>
    <w:rsid w:val="00D268D6"/>
    <w:rsid w:val="00D44968"/>
    <w:rsid w:val="00D4508C"/>
    <w:rsid w:val="00D773A8"/>
    <w:rsid w:val="00DA73BD"/>
    <w:rsid w:val="00DE0960"/>
    <w:rsid w:val="00E30487"/>
    <w:rsid w:val="00EA3435"/>
    <w:rsid w:val="00EB1D25"/>
    <w:rsid w:val="00ED700B"/>
    <w:rsid w:val="00EE58A5"/>
    <w:rsid w:val="00F05046"/>
    <w:rsid w:val="00F427F4"/>
    <w:rsid w:val="00F5632A"/>
    <w:rsid w:val="00F67C02"/>
    <w:rsid w:val="00F9371A"/>
    <w:rsid w:val="00FD0FAE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554967"/>
  <w15:docId w15:val="{6BB7A27C-005E-48D5-8150-71BFD53C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7CF"/>
    <w:pPr>
      <w:spacing w:after="160" w:line="259" w:lineRule="auto"/>
    </w:pPr>
    <w:rPr>
      <w:rFonts w:ascii="Times New Roman" w:hAnsi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4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99"/>
    <w:qFormat/>
    <w:rsid w:val="00147E0F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rsid w:val="0060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7238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FD0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D0FA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D0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D0FAE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63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Wiese-Spichalska</cp:lastModifiedBy>
  <cp:revision>7</cp:revision>
  <cp:lastPrinted>2016-01-21T12:54:00Z</cp:lastPrinted>
  <dcterms:created xsi:type="dcterms:W3CDTF">2016-01-29T12:17:00Z</dcterms:created>
  <dcterms:modified xsi:type="dcterms:W3CDTF">2019-12-20T08:31:00Z</dcterms:modified>
</cp:coreProperties>
</file>